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876"/>
      </w:tblGrid>
      <w:tr w:rsidR="009F31E8" w14:paraId="6554795B" w14:textId="77777777" w:rsidTr="009C3128">
        <w:tc>
          <w:tcPr>
            <w:tcW w:w="2412" w:type="dxa"/>
          </w:tcPr>
          <w:p w14:paraId="1BF55CD7" w14:textId="77777777" w:rsidR="009F31E8" w:rsidRPr="00530E00" w:rsidRDefault="009F31E8" w:rsidP="009C3128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876" w:type="dxa"/>
          </w:tcPr>
          <w:p w14:paraId="2EF76E70" w14:textId="77777777" w:rsidR="009F31E8" w:rsidRPr="00530E00" w:rsidRDefault="000B21A7" w:rsidP="009C3128">
            <w:pPr>
              <w:rPr>
                <w:b/>
                <w:lang w:val="en-IE"/>
              </w:rPr>
            </w:pPr>
            <w:r w:rsidRPr="000B21A7">
              <w:rPr>
                <w:b/>
                <w:lang w:val="en-IE"/>
              </w:rPr>
              <w:t>O.32 Number of ha subject to conditionality (broken down by GAEP practice)</w:t>
            </w:r>
          </w:p>
        </w:tc>
      </w:tr>
      <w:tr w:rsidR="000B21A7" w14:paraId="246E095C" w14:textId="77777777" w:rsidTr="009C3128">
        <w:tc>
          <w:tcPr>
            <w:tcW w:w="2412" w:type="dxa"/>
          </w:tcPr>
          <w:p w14:paraId="74C07A83" w14:textId="77777777" w:rsidR="000B21A7" w:rsidRDefault="000B21A7" w:rsidP="000B21A7">
            <w:pPr>
              <w:rPr>
                <w:lang w:val="en-IE"/>
              </w:rPr>
            </w:pPr>
            <w:r>
              <w:rPr>
                <w:lang w:val="en-IE"/>
              </w:rPr>
              <w:t>Definition</w:t>
            </w:r>
          </w:p>
        </w:tc>
        <w:tc>
          <w:tcPr>
            <w:tcW w:w="6876" w:type="dxa"/>
          </w:tcPr>
          <w:p w14:paraId="1728E75B" w14:textId="77777777" w:rsidR="000B21A7" w:rsidRDefault="000B21A7" w:rsidP="000B21A7">
            <w:pPr>
              <w:rPr>
                <w:lang w:val="en-IE"/>
              </w:rPr>
            </w:pPr>
            <w:r>
              <w:rPr>
                <w:lang w:val="en-IE"/>
              </w:rPr>
              <w:t>Areas for each GAEC separate practice as indicated in Annex III.</w:t>
            </w:r>
          </w:p>
          <w:p w14:paraId="174059F7" w14:textId="77777777" w:rsidR="00151E7B" w:rsidRDefault="00151E7B" w:rsidP="000B21A7">
            <w:pPr>
              <w:rPr>
                <w:lang w:val="en-IE"/>
              </w:rPr>
            </w:pPr>
            <w:r>
              <w:rPr>
                <w:lang w:val="en-IE"/>
              </w:rPr>
              <w:t xml:space="preserve">The total number of hectares in the scope of conditionality (e.g. areas under BISS) is not included in this indicator as already managed in indicator “O.4 </w:t>
            </w:r>
            <w:r w:rsidRPr="00151E7B">
              <w:rPr>
                <w:lang w:val="en-IE"/>
              </w:rPr>
              <w:t xml:space="preserve">Number of </w:t>
            </w:r>
            <w:r>
              <w:rPr>
                <w:lang w:val="en-IE"/>
              </w:rPr>
              <w:t>hectares for decoupled payments”</w:t>
            </w:r>
          </w:p>
          <w:p w14:paraId="1AC80C49" w14:textId="77777777" w:rsidR="000B21A7" w:rsidRDefault="000B21A7" w:rsidP="000B21A7">
            <w:pPr>
              <w:rPr>
                <w:lang w:val="en-IE"/>
              </w:rPr>
            </w:pPr>
          </w:p>
          <w:p w14:paraId="62836163" w14:textId="48AFD1E2" w:rsidR="0075545F" w:rsidRDefault="000B21A7" w:rsidP="000B21A7">
            <w:pPr>
              <w:rPr>
                <w:lang w:val="en-IE"/>
              </w:rPr>
            </w:pPr>
            <w:r>
              <w:rPr>
                <w:lang w:val="en-IE"/>
              </w:rPr>
              <w:t>For each GAEC the main land use (reference to Article 4 of the CAP plan Regulation</w:t>
            </w:r>
            <w:r w:rsidR="0075545F">
              <w:rPr>
                <w:lang w:val="en-IE"/>
              </w:rPr>
              <w:t>, land use on which the GAEC could be applicable: arable land AL, permanent grassland PG, permanent crops PC</w:t>
            </w:r>
            <w:r>
              <w:rPr>
                <w:lang w:val="en-IE"/>
              </w:rPr>
              <w:t>) is indicated</w:t>
            </w:r>
            <w:r w:rsidR="0075545F">
              <w:rPr>
                <w:lang w:val="en-IE"/>
              </w:rPr>
              <w:t xml:space="preserve"> as a further breakdown of the indicator.</w:t>
            </w:r>
          </w:p>
          <w:p w14:paraId="078BFECD" w14:textId="729976BB" w:rsidR="000B21A7" w:rsidRDefault="0075545F" w:rsidP="000B21A7">
            <w:pPr>
              <w:rPr>
                <w:lang w:val="en-IE"/>
              </w:rPr>
            </w:pPr>
            <w:r>
              <w:rPr>
                <w:lang w:val="en-IE"/>
              </w:rPr>
              <w:t>This information is necessary to express the GAEC areas on its appropriate context (</w:t>
            </w:r>
            <w:proofErr w:type="gramStart"/>
            <w:r>
              <w:rPr>
                <w:lang w:val="en-IE"/>
              </w:rPr>
              <w:t>e.g.</w:t>
            </w:r>
            <w:proofErr w:type="gramEnd"/>
            <w:r>
              <w:rPr>
                <w:lang w:val="en-IE"/>
              </w:rPr>
              <w:t xml:space="preserve"> GAEC 1 PG ratio is applicable only to PG: if this information is not provided, the only possible comparison will be on total agricultural area).</w:t>
            </w:r>
          </w:p>
          <w:p w14:paraId="20BAAD61" w14:textId="77777777" w:rsidR="000B21A7" w:rsidRDefault="000B21A7" w:rsidP="000B21A7">
            <w:pPr>
              <w:rPr>
                <w:lang w:val="en-IE"/>
              </w:rPr>
            </w:pPr>
          </w:p>
          <w:p w14:paraId="349A30D7" w14:textId="77777777" w:rsidR="00151E7B" w:rsidRDefault="00151E7B" w:rsidP="000B21A7">
            <w:pPr>
              <w:rPr>
                <w:lang w:val="en-IE"/>
              </w:rPr>
            </w:pPr>
            <w:r>
              <w:rPr>
                <w:lang w:val="en-IE"/>
              </w:rPr>
              <w:t>Aggregated indicators</w:t>
            </w:r>
          </w:p>
          <w:p w14:paraId="1A507057" w14:textId="77777777" w:rsidR="00151E7B" w:rsidRDefault="00151E7B" w:rsidP="00151E7B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At least one GAEC: areas on which at least one GAEC is applied (synthesis indicator)</w:t>
            </w:r>
          </w:p>
          <w:p w14:paraId="1AF270FB" w14:textId="77777777" w:rsidR="00151E7B" w:rsidRDefault="00151E7B" w:rsidP="00151E7B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Aggregation by objectives (as defined in Annex 3) without double counting</w:t>
            </w:r>
          </w:p>
          <w:p w14:paraId="61E50993" w14:textId="77777777" w:rsidR="00151E7B" w:rsidRDefault="00151E7B" w:rsidP="00151E7B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Climate change: GAEC 1 + 2</w:t>
            </w:r>
          </w:p>
          <w:p w14:paraId="2AAD35AE" w14:textId="77777777" w:rsidR="00151E7B" w:rsidRDefault="00151E7B" w:rsidP="00151E7B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Water: GAEC 4 + 5</w:t>
            </w:r>
          </w:p>
          <w:p w14:paraId="51F10F8E" w14:textId="77777777" w:rsidR="00151E7B" w:rsidRDefault="00151E7B" w:rsidP="00151E7B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Soil: GAEC 6 + 7 + 8</w:t>
            </w:r>
          </w:p>
          <w:p w14:paraId="27EE8F08" w14:textId="77777777" w:rsidR="00151E7B" w:rsidRDefault="00151E7B" w:rsidP="00151E7B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Biodiversity: GAEC 9 + 10</w:t>
            </w:r>
          </w:p>
          <w:p w14:paraId="05F1F496" w14:textId="77777777" w:rsidR="00151E7B" w:rsidRDefault="00151E7B" w:rsidP="000B21A7">
            <w:pPr>
              <w:rPr>
                <w:lang w:val="en-IE"/>
              </w:rPr>
            </w:pPr>
          </w:p>
          <w:p w14:paraId="2E40C754" w14:textId="77777777" w:rsidR="00151E7B" w:rsidRPr="00151E7B" w:rsidRDefault="00151E7B" w:rsidP="00151E7B">
            <w:pPr>
              <w:rPr>
                <w:lang w:val="en-IE"/>
              </w:rPr>
            </w:pPr>
            <w:r>
              <w:rPr>
                <w:lang w:val="en-IE"/>
              </w:rPr>
              <w:t>Detailed indicators including breakdowns</w:t>
            </w:r>
            <w:r w:rsidR="000B21A7">
              <w:rPr>
                <w:lang w:val="en-IE"/>
              </w:rPr>
              <w:t>:</w:t>
            </w:r>
          </w:p>
          <w:p w14:paraId="00C26E71" w14:textId="77777777" w:rsidR="00D865E3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GAEC 1: </w:t>
            </w:r>
          </w:p>
          <w:p w14:paraId="062BBB22" w14:textId="547BA427" w:rsidR="000B21A7" w:rsidRDefault="00D865E3" w:rsidP="00D865E3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PG </w:t>
            </w:r>
            <w:r w:rsidR="000B21A7">
              <w:rPr>
                <w:lang w:val="en-IE"/>
              </w:rPr>
              <w:t xml:space="preserve">areas </w:t>
            </w:r>
            <w:r w:rsidR="00E90952">
              <w:rPr>
                <w:lang w:val="en-IE"/>
              </w:rPr>
              <w:t>used for the determination of</w:t>
            </w:r>
            <w:r w:rsidR="00E90952" w:rsidRPr="00AE73B6">
              <w:rPr>
                <w:lang w:val="en-IE"/>
              </w:rPr>
              <w:t xml:space="preserve"> </w:t>
            </w:r>
            <w:r w:rsidR="00E90952">
              <w:rPr>
                <w:lang w:val="en-IE"/>
              </w:rPr>
              <w:t xml:space="preserve">the </w:t>
            </w:r>
            <w:r w:rsidR="00E90952" w:rsidRPr="00AE73B6">
              <w:rPr>
                <w:lang w:val="en-IE"/>
              </w:rPr>
              <w:t>PG ratio</w:t>
            </w:r>
          </w:p>
          <w:p w14:paraId="1FF58FFC" w14:textId="44BA3798" w:rsidR="00D865E3" w:rsidRDefault="00957FA5" w:rsidP="00D865E3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Utilised </w:t>
            </w:r>
            <w:r w:rsidR="00D865E3">
              <w:rPr>
                <w:lang w:val="en-IE"/>
              </w:rPr>
              <w:t xml:space="preserve">agricultural area </w:t>
            </w:r>
            <w:r>
              <w:rPr>
                <w:lang w:val="en-IE"/>
              </w:rPr>
              <w:t xml:space="preserve">(UAA) </w:t>
            </w:r>
            <w:r w:rsidR="00E90952">
              <w:rPr>
                <w:lang w:val="en-IE"/>
              </w:rPr>
              <w:t>used for the determination of</w:t>
            </w:r>
            <w:r w:rsidR="00E90952" w:rsidRPr="00AE73B6">
              <w:rPr>
                <w:lang w:val="en-IE"/>
              </w:rPr>
              <w:t xml:space="preserve"> </w:t>
            </w:r>
            <w:r w:rsidR="00D865E3">
              <w:rPr>
                <w:lang w:val="en-IE"/>
              </w:rPr>
              <w:t xml:space="preserve">the PG ratio </w:t>
            </w:r>
          </w:p>
          <w:p w14:paraId="6E840664" w14:textId="00B22BE6" w:rsidR="00D865E3" w:rsidRDefault="00D865E3" w:rsidP="00D865E3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PG ratio (PG/UAA) expressed in percentage</w:t>
            </w:r>
          </w:p>
          <w:p w14:paraId="56B6C41E" w14:textId="77777777" w:rsidR="000B21A7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GAEC 2: </w:t>
            </w:r>
          </w:p>
          <w:p w14:paraId="3C8E98A7" w14:textId="77777777" w:rsidR="000B21A7" w:rsidRDefault="000B21A7" w:rsidP="000B21A7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areas of peatland (</w:t>
            </w:r>
            <w:r w:rsidR="00151E7B">
              <w:rPr>
                <w:lang w:val="en-IE"/>
              </w:rPr>
              <w:t>AL, PG, PC)</w:t>
            </w:r>
          </w:p>
          <w:p w14:paraId="45830BC5" w14:textId="33DAEAE0" w:rsidR="000B21A7" w:rsidRDefault="000B21A7" w:rsidP="000B21A7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areas of wetlands (</w:t>
            </w:r>
            <w:r w:rsidR="00151E7B">
              <w:rPr>
                <w:lang w:val="en-IE"/>
              </w:rPr>
              <w:t>AL, PG, PC)</w:t>
            </w:r>
          </w:p>
          <w:p w14:paraId="70715935" w14:textId="38A46456" w:rsidR="00E6307E" w:rsidRDefault="00E6307E" w:rsidP="00E6307E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GAEC 3: areas subject to the ban of burning arable stubble (AL)</w:t>
            </w:r>
          </w:p>
          <w:p w14:paraId="4F675AE2" w14:textId="77777777" w:rsidR="000B21A7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GAEC 4: areas of buffer strips (AL, PG, PC) </w:t>
            </w:r>
          </w:p>
          <w:p w14:paraId="4B167388" w14:textId="77777777" w:rsidR="000B21A7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GAEC 5: areas subject to the use of </w:t>
            </w:r>
            <w:proofErr w:type="spellStart"/>
            <w:r>
              <w:rPr>
                <w:lang w:val="en-IE"/>
              </w:rPr>
              <w:t>FaST</w:t>
            </w:r>
            <w:proofErr w:type="spellEnd"/>
            <w:r>
              <w:rPr>
                <w:lang w:val="en-IE"/>
              </w:rPr>
              <w:t xml:space="preserve"> (AL, PG, PC) </w:t>
            </w:r>
          </w:p>
          <w:p w14:paraId="375B03AB" w14:textId="77777777" w:rsidR="000B21A7" w:rsidRPr="00C535E5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GAEC 6: areas (AL, PG, PC) subject to tillage management </w:t>
            </w:r>
          </w:p>
          <w:p w14:paraId="39A89A1A" w14:textId="77777777" w:rsidR="000B21A7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GAEC 7: areas (AL, PC) subject to no bare soil in sensitive periods (including normal weather crops which contribute to the requirement)</w:t>
            </w:r>
          </w:p>
          <w:p w14:paraId="142CAF44" w14:textId="77777777" w:rsidR="000B21A7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GAEC 8: areas (AL) subject to crop rotation</w:t>
            </w:r>
          </w:p>
          <w:p w14:paraId="114C72B0" w14:textId="77777777" w:rsidR="000B21A7" w:rsidRDefault="000B21A7" w:rsidP="000B21A7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GAEC 9 (</w:t>
            </w:r>
            <w:r w:rsidR="00B2588C">
              <w:rPr>
                <w:lang w:val="en-IE"/>
              </w:rPr>
              <w:t>indicative</w:t>
            </w:r>
            <w:r>
              <w:rPr>
                <w:lang w:val="en-IE"/>
              </w:rPr>
              <w:t xml:space="preserve"> breakdown </w:t>
            </w:r>
            <w:r w:rsidR="00256101">
              <w:rPr>
                <w:lang w:val="en-IE"/>
              </w:rPr>
              <w:t>based on</w:t>
            </w:r>
            <w:r>
              <w:rPr>
                <w:lang w:val="en-IE"/>
              </w:rPr>
              <w:t xml:space="preserve"> current EFA types </w:t>
            </w:r>
            <w:r w:rsidR="00256101">
              <w:rPr>
                <w:lang w:val="en-IE"/>
              </w:rPr>
              <w:t xml:space="preserve">(LF: landscape features) </w:t>
            </w:r>
            <w:r>
              <w:rPr>
                <w:lang w:val="en-IE"/>
              </w:rPr>
              <w:t>is provided; an intermediate level could be elaborated aggregating some categories):</w:t>
            </w:r>
          </w:p>
          <w:p w14:paraId="234A0835" w14:textId="30ADE1D5" w:rsidR="00D865E3" w:rsidRDefault="00D865E3" w:rsidP="000B21A7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Total agricultural areas subject to GAEC 9 requirements (AL, PG, PC) </w:t>
            </w:r>
          </w:p>
          <w:p w14:paraId="3CD87925" w14:textId="2790017A" w:rsidR="000B21A7" w:rsidRDefault="00D865E3" w:rsidP="000B21A7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 xml:space="preserve">Hectares of </w:t>
            </w:r>
            <w:proofErr w:type="spellStart"/>
            <w:r w:rsidR="00E6307E">
              <w:rPr>
                <w:lang w:val="en-IE"/>
              </w:rPr>
              <w:t>n</w:t>
            </w:r>
            <w:r w:rsidR="000B21A7">
              <w:rPr>
                <w:lang w:val="en-IE"/>
              </w:rPr>
              <w:t>on productive</w:t>
            </w:r>
            <w:proofErr w:type="spellEnd"/>
            <w:r w:rsidR="000B21A7">
              <w:rPr>
                <w:lang w:val="en-IE"/>
              </w:rPr>
              <w:t xml:space="preserve"> areas/features</w:t>
            </w:r>
            <w:r w:rsidR="00E6307E">
              <w:rPr>
                <w:lang w:val="en-IE"/>
              </w:rPr>
              <w:t xml:space="preserve"> used for the </w:t>
            </w:r>
            <w:r w:rsidR="00E6307E">
              <w:rPr>
                <w:lang w:val="en-IE"/>
              </w:rPr>
              <w:lastRenderedPageBreak/>
              <w:t>calculation of the share</w:t>
            </w:r>
          </w:p>
          <w:p w14:paraId="57AC448D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Land lying fallow</w:t>
            </w:r>
          </w:p>
          <w:p w14:paraId="06CEB356" w14:textId="77777777" w:rsidR="000B21A7" w:rsidRPr="00C535E5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Land lying fallow with melliferous plants</w:t>
            </w:r>
          </w:p>
          <w:p w14:paraId="42C2A31D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Terraces</w:t>
            </w:r>
          </w:p>
          <w:p w14:paraId="3FF86434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Hedges, wooded strips and trees in line</w:t>
            </w:r>
          </w:p>
          <w:p w14:paraId="37290279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Isolated trees</w:t>
            </w:r>
          </w:p>
          <w:p w14:paraId="3B509ECB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Field copses</w:t>
            </w:r>
          </w:p>
          <w:p w14:paraId="1EE8AC7D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Field margins/strips</w:t>
            </w:r>
          </w:p>
          <w:p w14:paraId="5F2DE99C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Ponds</w:t>
            </w:r>
          </w:p>
          <w:p w14:paraId="7F67FA55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Ditches</w:t>
            </w:r>
          </w:p>
          <w:p w14:paraId="52FB87F6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Traditional stone walls</w:t>
            </w:r>
          </w:p>
          <w:p w14:paraId="169BD697" w14:textId="77777777" w:rsidR="000B21A7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LF - Other landscape features</w:t>
            </w:r>
          </w:p>
          <w:p w14:paraId="738419BF" w14:textId="77777777" w:rsidR="000B21A7" w:rsidRPr="00C535E5" w:rsidRDefault="000B21A7" w:rsidP="000B21A7">
            <w:pPr>
              <w:pStyle w:val="ListParagraph"/>
              <w:numPr>
                <w:ilvl w:val="2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Afforested areas</w:t>
            </w:r>
          </w:p>
          <w:p w14:paraId="2DDCABC0" w14:textId="77777777" w:rsidR="000B21A7" w:rsidRDefault="000B21A7" w:rsidP="000B21A7">
            <w:pPr>
              <w:pStyle w:val="ListParagraph"/>
              <w:numPr>
                <w:ilvl w:val="1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Areas subject to retention of landscape features (breakdown by type, see above, only for landscape features)</w:t>
            </w:r>
          </w:p>
          <w:p w14:paraId="59B589A3" w14:textId="1982772D" w:rsidR="000B21A7" w:rsidRPr="00E6307E" w:rsidRDefault="000B21A7" w:rsidP="00151E7B">
            <w:pPr>
              <w:pStyle w:val="ListParagraph"/>
              <w:numPr>
                <w:ilvl w:val="0"/>
                <w:numId w:val="2"/>
              </w:numPr>
              <w:rPr>
                <w:lang w:val="en-IE"/>
              </w:rPr>
            </w:pPr>
            <w:r>
              <w:rPr>
                <w:lang w:val="en-IE"/>
              </w:rPr>
              <w:t>GAEC 10: areas (PG) subject to ban of converting/ploughing</w:t>
            </w:r>
          </w:p>
        </w:tc>
      </w:tr>
      <w:tr w:rsidR="000B21A7" w14:paraId="268D2093" w14:textId="77777777" w:rsidTr="009C3128">
        <w:tc>
          <w:tcPr>
            <w:tcW w:w="2412" w:type="dxa"/>
          </w:tcPr>
          <w:p w14:paraId="2C69CB6A" w14:textId="77777777" w:rsidR="000B21A7" w:rsidRDefault="000B21A7" w:rsidP="000B21A7">
            <w:pPr>
              <w:rPr>
                <w:lang w:val="en-IE"/>
              </w:rPr>
            </w:pPr>
            <w:r>
              <w:rPr>
                <w:lang w:val="en-IE"/>
              </w:rPr>
              <w:lastRenderedPageBreak/>
              <w:t>Types of intervention concerned</w:t>
            </w:r>
          </w:p>
        </w:tc>
        <w:tc>
          <w:tcPr>
            <w:tcW w:w="6876" w:type="dxa"/>
          </w:tcPr>
          <w:p w14:paraId="71AD75CD" w14:textId="4125B22E" w:rsidR="000B21A7" w:rsidRDefault="000B21A7" w:rsidP="00957FA5">
            <w:pPr>
              <w:rPr>
                <w:lang w:val="en-IE"/>
              </w:rPr>
            </w:pPr>
            <w:r>
              <w:rPr>
                <w:lang w:val="en-IE"/>
              </w:rPr>
              <w:t xml:space="preserve">GAEC practices </w:t>
            </w:r>
          </w:p>
        </w:tc>
      </w:tr>
      <w:tr w:rsidR="000B21A7" w14:paraId="037B2B67" w14:textId="77777777" w:rsidTr="009C3128">
        <w:tc>
          <w:tcPr>
            <w:tcW w:w="2412" w:type="dxa"/>
          </w:tcPr>
          <w:p w14:paraId="0F277ED9" w14:textId="77777777" w:rsidR="000B21A7" w:rsidRDefault="000B21A7" w:rsidP="000B21A7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  <w:p w14:paraId="7939FD55" w14:textId="77777777" w:rsidR="000B21A7" w:rsidRDefault="000B21A7" w:rsidP="000B21A7">
            <w:pPr>
              <w:rPr>
                <w:lang w:val="en-IE"/>
              </w:rPr>
            </w:pPr>
          </w:p>
        </w:tc>
        <w:tc>
          <w:tcPr>
            <w:tcW w:w="6876" w:type="dxa"/>
          </w:tcPr>
          <w:p w14:paraId="301EBD47" w14:textId="77777777" w:rsidR="000B21A7" w:rsidRDefault="00717257" w:rsidP="00E90952">
            <w:pPr>
              <w:rPr>
                <w:lang w:val="en-IE"/>
              </w:rPr>
            </w:pPr>
            <w:r w:rsidRPr="00DC7990">
              <w:rPr>
                <w:lang w:val="en-IE"/>
              </w:rPr>
              <w:t xml:space="preserve">Hectares paid in </w:t>
            </w:r>
            <w:r>
              <w:rPr>
                <w:lang w:val="en-IE"/>
              </w:rPr>
              <w:t xml:space="preserve">the </w:t>
            </w:r>
            <w:r w:rsidRPr="00DC7990">
              <w:rPr>
                <w:lang w:val="en-IE"/>
              </w:rPr>
              <w:t>Financial Year</w:t>
            </w:r>
            <w:r>
              <w:rPr>
                <w:lang w:val="en-IE"/>
              </w:rPr>
              <w:t xml:space="preserve"> </w:t>
            </w:r>
            <w:r w:rsidR="00E90952">
              <w:rPr>
                <w:lang w:val="en-IE"/>
              </w:rPr>
              <w:t xml:space="preserve">concerned </w:t>
            </w:r>
            <w:r w:rsidR="000B21A7" w:rsidRPr="000B21A7">
              <w:rPr>
                <w:lang w:val="en-IE"/>
              </w:rPr>
              <w:t>for each GAEC</w:t>
            </w:r>
            <w:r>
              <w:rPr>
                <w:lang w:val="en-IE"/>
              </w:rPr>
              <w:t xml:space="preserve"> </w:t>
            </w:r>
          </w:p>
          <w:p w14:paraId="40B8900D" w14:textId="44899F64" w:rsidR="00E90952" w:rsidRDefault="00E90952" w:rsidP="00E90952">
            <w:pPr>
              <w:rPr>
                <w:lang w:val="en-IE"/>
              </w:rPr>
            </w:pPr>
            <w:r>
              <w:rPr>
                <w:lang w:val="en-IE"/>
              </w:rPr>
              <w:t>% for the PG ratio</w:t>
            </w:r>
          </w:p>
        </w:tc>
      </w:tr>
      <w:tr w:rsidR="000B21A7" w14:paraId="0FF7C6D5" w14:textId="77777777" w:rsidTr="009C3128">
        <w:tc>
          <w:tcPr>
            <w:tcW w:w="2412" w:type="dxa"/>
          </w:tcPr>
          <w:p w14:paraId="6D622123" w14:textId="77777777" w:rsidR="000B21A7" w:rsidRDefault="000B21A7" w:rsidP="000B21A7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876" w:type="dxa"/>
          </w:tcPr>
          <w:p w14:paraId="689E2E6E" w14:textId="77777777" w:rsidR="00151E7B" w:rsidRDefault="00151E7B" w:rsidP="003024AE">
            <w:pPr>
              <w:pStyle w:val="ListParagraph"/>
              <w:numPr>
                <w:ilvl w:val="0"/>
                <w:numId w:val="1"/>
              </w:numPr>
              <w:rPr>
                <w:lang w:val="en-IE"/>
              </w:rPr>
            </w:pPr>
            <w:r>
              <w:rPr>
                <w:lang w:val="en-IE"/>
              </w:rPr>
              <w:t>Data for SMR are not included in this indicator and in any other output indicator listed in Annex 1</w:t>
            </w:r>
            <w:r w:rsidR="00842C90">
              <w:rPr>
                <w:lang w:val="en-IE"/>
              </w:rPr>
              <w:t xml:space="preserve"> because they originate in </w:t>
            </w:r>
            <w:proofErr w:type="spellStart"/>
            <w:r w:rsidR="00842C90">
              <w:rPr>
                <w:lang w:val="en-IE"/>
              </w:rPr>
              <w:t>non CAP</w:t>
            </w:r>
            <w:proofErr w:type="spellEnd"/>
            <w:r w:rsidR="00842C90">
              <w:rPr>
                <w:lang w:val="en-IE"/>
              </w:rPr>
              <w:t xml:space="preserve"> legislation</w:t>
            </w:r>
          </w:p>
          <w:p w14:paraId="17680F66" w14:textId="56417192" w:rsidR="00442DA7" w:rsidRDefault="00442DA7" w:rsidP="003024AE">
            <w:pPr>
              <w:pStyle w:val="ListParagraph"/>
              <w:numPr>
                <w:ilvl w:val="0"/>
                <w:numId w:val="1"/>
              </w:numPr>
              <w:rPr>
                <w:lang w:val="en-IE"/>
              </w:rPr>
            </w:pPr>
            <w:r>
              <w:rPr>
                <w:lang w:val="en-IE"/>
              </w:rPr>
              <w:t xml:space="preserve">The total number of 'physical' hectares without double counting is also required, because it is key information to communicate and steer the policy. As </w:t>
            </w:r>
            <w:proofErr w:type="gramStart"/>
            <w:r>
              <w:rPr>
                <w:lang w:val="en-IE"/>
              </w:rPr>
              <w:t>GAEC</w:t>
            </w:r>
            <w:proofErr w:type="gramEnd"/>
            <w:r>
              <w:rPr>
                <w:lang w:val="en-IE"/>
              </w:rPr>
              <w:t xml:space="preserve"> areas are not included in any result indicators, aggregation by </w:t>
            </w:r>
            <w:r w:rsidR="00842C90">
              <w:rPr>
                <w:lang w:val="en-IE"/>
              </w:rPr>
              <w:t>“</w:t>
            </w:r>
            <w:r>
              <w:rPr>
                <w:lang w:val="en-IE"/>
              </w:rPr>
              <w:t>main issue</w:t>
            </w:r>
            <w:r w:rsidR="00842C90">
              <w:rPr>
                <w:lang w:val="en-IE"/>
              </w:rPr>
              <w:t>”</w:t>
            </w:r>
            <w:r>
              <w:rPr>
                <w:lang w:val="en-IE"/>
              </w:rPr>
              <w:t xml:space="preserve"> (Annex 3) is essential to calculate GAEC areas by environmental objective. </w:t>
            </w:r>
          </w:p>
          <w:p w14:paraId="27AEC02A" w14:textId="1BF9F130" w:rsidR="00C801A6" w:rsidRDefault="00C801A6" w:rsidP="003024AE">
            <w:pPr>
              <w:pStyle w:val="ListParagraph"/>
              <w:numPr>
                <w:ilvl w:val="0"/>
                <w:numId w:val="1"/>
              </w:numPr>
              <w:rPr>
                <w:lang w:val="en-IE"/>
              </w:rPr>
            </w:pPr>
            <w:r>
              <w:rPr>
                <w:lang w:val="en-IE"/>
              </w:rPr>
              <w:t xml:space="preserve">The possibility for Member States to use conversion and/or weighting factors for GAEC 4 and 9 </w:t>
            </w:r>
            <w:proofErr w:type="gramStart"/>
            <w:r>
              <w:rPr>
                <w:lang w:val="en-IE"/>
              </w:rPr>
              <w:t>should be taken</w:t>
            </w:r>
            <w:proofErr w:type="gramEnd"/>
            <w:r>
              <w:rPr>
                <w:lang w:val="en-IE"/>
              </w:rPr>
              <w:t xml:space="preserve"> in consideration. The indicator will be based at least on physical areas (not weighted) however also the weighted areas are necessary to compare with the </w:t>
            </w:r>
            <w:proofErr w:type="gramStart"/>
            <w:r>
              <w:rPr>
                <w:lang w:val="en-IE"/>
              </w:rPr>
              <w:t>%</w:t>
            </w:r>
            <w:proofErr w:type="gramEnd"/>
            <w:r>
              <w:rPr>
                <w:lang w:val="en-IE"/>
              </w:rPr>
              <w:t xml:space="preserve"> threshold.</w:t>
            </w:r>
          </w:p>
          <w:p w14:paraId="16DBF94D" w14:textId="53546261" w:rsidR="000B21A7" w:rsidRPr="00E90952" w:rsidRDefault="000B21A7" w:rsidP="00E90952">
            <w:pPr>
              <w:pStyle w:val="ListParagraph"/>
              <w:numPr>
                <w:ilvl w:val="0"/>
                <w:numId w:val="1"/>
              </w:numPr>
              <w:rPr>
                <w:lang w:val="en-IE"/>
              </w:rPr>
            </w:pPr>
            <w:r w:rsidRPr="00151E7B">
              <w:rPr>
                <w:lang w:val="en-IE"/>
              </w:rPr>
              <w:t xml:space="preserve">Methodology and breakdowns proposed </w:t>
            </w:r>
            <w:proofErr w:type="gramStart"/>
            <w:r w:rsidRPr="00151E7B">
              <w:rPr>
                <w:lang w:val="en-IE"/>
              </w:rPr>
              <w:t>are based</w:t>
            </w:r>
            <w:proofErr w:type="gramEnd"/>
            <w:r w:rsidRPr="00151E7B">
              <w:rPr>
                <w:lang w:val="en-IE"/>
              </w:rPr>
              <w:t xml:space="preserve"> on the current experience on greening output indicators</w:t>
            </w:r>
            <w:r w:rsidR="0075545F">
              <w:rPr>
                <w:lang w:val="en-IE"/>
              </w:rPr>
              <w:t>, including the breakdown by main land use</w:t>
            </w:r>
            <w:r w:rsidRPr="00151E7B">
              <w:rPr>
                <w:lang w:val="en-IE"/>
              </w:rPr>
              <w:t xml:space="preserve">. </w:t>
            </w:r>
          </w:p>
        </w:tc>
      </w:tr>
    </w:tbl>
    <w:p w14:paraId="2F939446" w14:textId="77777777" w:rsidR="00E03BE1" w:rsidRDefault="00FA7A16"/>
    <w:sectPr w:rsidR="00E03B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60DB2" w14:textId="77777777" w:rsidR="007B6B7A" w:rsidRDefault="007B6B7A" w:rsidP="007B6B7A">
      <w:pPr>
        <w:spacing w:after="0" w:line="240" w:lineRule="auto"/>
      </w:pPr>
      <w:r>
        <w:separator/>
      </w:r>
    </w:p>
  </w:endnote>
  <w:endnote w:type="continuationSeparator" w:id="0">
    <w:p w14:paraId="59957C1F" w14:textId="77777777" w:rsidR="007B6B7A" w:rsidRDefault="007B6B7A" w:rsidP="007B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01B03" w14:textId="77777777" w:rsidR="00FA7A16" w:rsidRDefault="00FA7A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073A2" w14:textId="77777777" w:rsidR="00FA7A16" w:rsidRPr="00FA7A16" w:rsidRDefault="00FA7A16" w:rsidP="00FA7A16">
    <w:pPr>
      <w:pStyle w:val="Footer"/>
      <w:jc w:val="center"/>
      <w:rPr>
        <w:caps/>
        <w:color w:val="4F81BD" w:themeColor="accent1"/>
      </w:rPr>
    </w:pPr>
    <w:r w:rsidRPr="00FA7A16">
      <w:rPr>
        <w:caps/>
        <w:color w:val="4F81BD" w:themeColor="accent1"/>
      </w:rPr>
      <w:t>DISCLAIMER</w:t>
    </w:r>
  </w:p>
  <w:p w14:paraId="1050F242" w14:textId="77777777" w:rsidR="00FA7A16" w:rsidRPr="00FA7A16" w:rsidRDefault="00FA7A16" w:rsidP="00FA7A16">
    <w:pPr>
      <w:pStyle w:val="Footer"/>
      <w:jc w:val="center"/>
      <w:rPr>
        <w:caps/>
        <w:color w:val="4F81BD" w:themeColor="accent1"/>
      </w:rPr>
    </w:pPr>
  </w:p>
  <w:p w14:paraId="3001302E" w14:textId="0341F48D" w:rsidR="00FA7A16" w:rsidRDefault="00FA7A16" w:rsidP="00FA7A16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D66FE" w14:textId="77777777" w:rsidR="00FA7A16" w:rsidRDefault="00FA7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5DCD1" w14:textId="77777777" w:rsidR="007B6B7A" w:rsidRDefault="007B6B7A" w:rsidP="007B6B7A">
      <w:pPr>
        <w:spacing w:after="0" w:line="240" w:lineRule="auto"/>
      </w:pPr>
      <w:r>
        <w:separator/>
      </w:r>
    </w:p>
  </w:footnote>
  <w:footnote w:type="continuationSeparator" w:id="0">
    <w:p w14:paraId="48BAB3A5" w14:textId="77777777" w:rsidR="007B6B7A" w:rsidRDefault="007B6B7A" w:rsidP="007B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88C1E" w14:textId="77777777" w:rsidR="00FA7A16" w:rsidRDefault="00FA7A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1715C" w14:textId="6A7493E1" w:rsidR="007B6B7A" w:rsidRDefault="007B6B7A">
    <w:pPr>
      <w:pStyle w:val="Header"/>
    </w:pPr>
    <w:bookmarkStart w:id="0" w:name="_GoBack"/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55A15A7" wp14:editId="3BFD654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5F7BBCC" w14:textId="0508466B" w:rsidR="007B6B7A" w:rsidRDefault="007B6B7A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7B6B7A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55A15A7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5F7BBCC" w14:textId="0508466B" w:rsidR="007B6B7A" w:rsidRDefault="007B6B7A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7B6B7A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67F57" w14:textId="77777777" w:rsidR="00FA7A16" w:rsidRDefault="00FA7A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1EDD"/>
    <w:multiLevelType w:val="hybridMultilevel"/>
    <w:tmpl w:val="64BE577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01E570E"/>
    <w:multiLevelType w:val="hybridMultilevel"/>
    <w:tmpl w:val="8F901E30"/>
    <w:lvl w:ilvl="0" w:tplc="C9CE97D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616028"/>
    <w:multiLevelType w:val="hybridMultilevel"/>
    <w:tmpl w:val="46A0E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9F31E8"/>
    <w:rsid w:val="00047D6B"/>
    <w:rsid w:val="00091CDA"/>
    <w:rsid w:val="000B21A7"/>
    <w:rsid w:val="000E0AF9"/>
    <w:rsid w:val="000E5F7A"/>
    <w:rsid w:val="00140DE1"/>
    <w:rsid w:val="00151E7B"/>
    <w:rsid w:val="002254D3"/>
    <w:rsid w:val="00256101"/>
    <w:rsid w:val="00272BBF"/>
    <w:rsid w:val="002915BF"/>
    <w:rsid w:val="002D1AD5"/>
    <w:rsid w:val="004062B5"/>
    <w:rsid w:val="00415708"/>
    <w:rsid w:val="00425C55"/>
    <w:rsid w:val="00442DA7"/>
    <w:rsid w:val="004908B8"/>
    <w:rsid w:val="004A4A7E"/>
    <w:rsid w:val="004D18AE"/>
    <w:rsid w:val="004D3B3C"/>
    <w:rsid w:val="005D27D3"/>
    <w:rsid w:val="005D71AD"/>
    <w:rsid w:val="00717257"/>
    <w:rsid w:val="00724C2C"/>
    <w:rsid w:val="0075545F"/>
    <w:rsid w:val="00757528"/>
    <w:rsid w:val="00760361"/>
    <w:rsid w:val="007B6B7A"/>
    <w:rsid w:val="007D7326"/>
    <w:rsid w:val="00817CA9"/>
    <w:rsid w:val="00842C90"/>
    <w:rsid w:val="00860EDA"/>
    <w:rsid w:val="008B277F"/>
    <w:rsid w:val="0091602A"/>
    <w:rsid w:val="00950536"/>
    <w:rsid w:val="00957FA5"/>
    <w:rsid w:val="009B6C97"/>
    <w:rsid w:val="009F31E8"/>
    <w:rsid w:val="00B051EE"/>
    <w:rsid w:val="00B2588C"/>
    <w:rsid w:val="00BE2BDC"/>
    <w:rsid w:val="00C801A6"/>
    <w:rsid w:val="00D41F0F"/>
    <w:rsid w:val="00D675C7"/>
    <w:rsid w:val="00D83374"/>
    <w:rsid w:val="00D865E3"/>
    <w:rsid w:val="00DD06E9"/>
    <w:rsid w:val="00E6307E"/>
    <w:rsid w:val="00E90952"/>
    <w:rsid w:val="00EE341D"/>
    <w:rsid w:val="00EE75BB"/>
    <w:rsid w:val="00F7294F"/>
    <w:rsid w:val="00FA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056A08"/>
  <w15:docId w15:val="{1EC092EA-2DF0-4860-8063-9979997DC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F31E8"/>
    <w:pPr>
      <w:ind w:left="720"/>
      <w:contextualSpacing/>
    </w:p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9F31E8"/>
  </w:style>
  <w:style w:type="table" w:styleId="TableGrid">
    <w:name w:val="Table Grid"/>
    <w:basedOn w:val="TableNormal"/>
    <w:uiPriority w:val="59"/>
    <w:rsid w:val="009F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42C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2C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2C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2C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2C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C9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B6B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B7A"/>
  </w:style>
  <w:style w:type="paragraph" w:styleId="Footer">
    <w:name w:val="footer"/>
    <w:basedOn w:val="Normal"/>
    <w:link w:val="FooterChar"/>
    <w:uiPriority w:val="99"/>
    <w:unhideWhenUsed/>
    <w:rsid w:val="007B6B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525</Words>
  <Characters>3104</Characters>
  <Application>Microsoft Office Word</Application>
  <DocSecurity>0</DocSecurity>
  <Lines>103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HELAINE Sophie (AGRI)</dc:creator>
  <cp:lastModifiedBy>HELAINE Sophie (AGRI)</cp:lastModifiedBy>
  <cp:revision>3</cp:revision>
  <dcterms:created xsi:type="dcterms:W3CDTF">2019-02-15T15:03:00Z</dcterms:created>
  <dcterms:modified xsi:type="dcterms:W3CDTF">2019-02-15T15:06:00Z</dcterms:modified>
</cp:coreProperties>
</file>